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rFonts w:ascii="Arial" w:hAnsi="Arial"/>
          <w:b/>
          <w:bCs/>
          <w:sz w:val="22"/>
          <w:szCs w:val="22"/>
        </w:rPr>
      </w:pPr>
      <w:r>
        <w:rPr>
          <w:rFonts w:ascii="Arial" w:hAnsi="Arial"/>
          <w:b/>
          <w:bCs/>
          <w:sz w:val="22"/>
          <w:szCs w:val="22"/>
        </w:rPr>
        <w:t xml:space="preserve">Allegato B  </w:t>
      </w:r>
    </w:p>
    <w:p>
      <w:pPr>
        <w:pStyle w:val="Indice"/>
        <w:jc w:val="both"/>
        <w:rPr>
          <w:rFonts w:ascii="Arial" w:hAnsi="Arial"/>
          <w:b/>
          <w:bCs/>
          <w:sz w:val="22"/>
          <w:szCs w:val="22"/>
        </w:rPr>
      </w:pPr>
      <w:r>
        <w:rPr>
          <w:rFonts w:ascii="Arial" w:hAnsi="Arial"/>
          <w:b/>
          <w:bCs/>
          <w:sz w:val="22"/>
          <w:szCs w:val="22"/>
        </w:rPr>
        <w:t>Domanda di partecipazione alla procedura negoziata senza bando ai sensi dell’art. 76 del D.Lgs. 36/2023 tramite la piattaforma Sintel  per l’affidamento del servizio di assistenza medica di ORTOPEDIA E TRAUMATOLOGIA.</w:t>
      </w:r>
    </w:p>
    <w:p>
      <w:pPr>
        <w:pStyle w:val="Indice"/>
        <w:jc w:val="both"/>
        <w:rPr>
          <w:rFonts w:ascii="Arial" w:hAnsi="Arial"/>
          <w:b/>
          <w:bCs/>
          <w:sz w:val="22"/>
          <w:szCs w:val="22"/>
        </w:rPr>
      </w:pPr>
      <w:r>
        <w:rPr>
          <w:rFonts w:ascii="Arial" w:hAnsi="Arial"/>
          <w:b/>
          <w:bCs/>
          <w:sz w:val="22"/>
          <w:szCs w:val="22"/>
        </w:rPr>
      </w:r>
    </w:p>
    <w:p>
      <w:pPr>
        <w:pStyle w:val="Normal"/>
        <w:shd w:val="clear" w:color="auto" w:fill="4472C4" w:themeFill="accent5"/>
        <w:jc w:val="both"/>
        <w:rPr>
          <w:i/>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chiamoallanotaapidipagina"/>
          <w:b/>
          <w:bCs/>
          <w:i/>
          <w:color w:val="FFFFFF" w:themeColor="background1"/>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Denominazione Operatore economico</w:t>
            </w:r>
          </w:p>
        </w:tc>
        <w:tc>
          <w:tcPr>
            <w:tcW w:w="6852" w:type="dxa"/>
            <w:tcBorders/>
            <w:shd w:color="auto" w:fill="FFFFFF" w:themeFill="background1" w:val="clear"/>
          </w:tcPr>
          <w:p>
            <w:pPr>
              <w:pStyle w:val="Normal"/>
              <w:widowControl w:val="false"/>
              <w:suppressAutoHyphens w:val="true"/>
              <w:spacing w:lineRule="auto" w:line="240" w:before="0" w:after="0"/>
              <w:jc w:val="both"/>
              <w:rPr>
                <w:color w:val="FFFFFF" w:themeColor="background1"/>
                <w:sz w:val="20"/>
                <w:szCs w:val="20"/>
              </w:rPr>
            </w:pPr>
            <w:r>
              <w:rPr>
                <w:color w:val="FFFFFF" w:themeColor="background1"/>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Tipologia societaria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Partita IVA/Codice fiscale</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Forma di partecipazione alla procedura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center"/>
        <w:rPr>
          <w:b/>
          <w:bCs/>
        </w:rPr>
      </w:pPr>
      <w:r>
        <w:rPr>
          <w:b/>
          <w:bCs/>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 xml:space="preserve">C.F. </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ind w:left="284" w:hanging="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left="284" w:hanging="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eastAsia="Calibri" w:cs="Courier New"/>
          <w:b/>
          <w:sz w:val="20"/>
          <w:szCs w:val="20"/>
          <w:lang w:eastAsia="it-IT"/>
        </w:rPr>
      </w:pPr>
      <w:r>
        <w:rPr>
          <w:rFonts w:eastAsia="Calibri" w:cs="Courier New"/>
          <w:b/>
          <w:sz w:val="20"/>
          <w:szCs w:val="20"/>
          <w:lang w:eastAsia="it-IT"/>
        </w:rPr>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left="426" w:hanging="360"/>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left="567" w:hanging="283"/>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val="4472C4" w:themeColor="accent5"/>
          <w:sz w:val="20"/>
          <w:szCs w:val="20"/>
        </w:rPr>
      </w:pPr>
      <w:r>
        <w:rPr>
          <w:b/>
          <w:color w:val="4472C4" w:themeColor="accent5"/>
          <w:sz w:val="20"/>
          <w:szCs w:val="20"/>
        </w:rPr>
      </w:r>
    </w:p>
    <w:p>
      <w:pPr>
        <w:pStyle w:val="ListParagraph"/>
        <w:numPr>
          <w:ilvl w:val="0"/>
          <w:numId w:val="1"/>
        </w:numPr>
        <w:jc w:val="both"/>
        <w:rPr>
          <w:b/>
          <w:i/>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pPr>
        <w:pStyle w:val="ListParagraph"/>
        <w:ind w:left="1364" w:hanging="0"/>
        <w:jc w:val="both"/>
        <w:rPr>
          <w:b/>
          <w:i/>
          <w:i/>
          <w:color w:val="4472C4" w:themeColor="accent5"/>
          <w:sz w:val="20"/>
          <w:szCs w:val="20"/>
        </w:rPr>
      </w:pPr>
      <w:r>
        <w:rPr>
          <w:b/>
          <w:i/>
          <w:color w:val="4472C4" w:themeColor="accent5"/>
          <w:sz w:val="20"/>
          <w:szCs w:val="20"/>
        </w:rPr>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pPr>
        <w:pStyle w:val="ListParagraph"/>
        <w:ind w:left="644" w:hanging="0"/>
        <w:jc w:val="both"/>
        <w:rPr>
          <w:b/>
          <w:color w:val="4472C4" w:themeColor="accent5"/>
          <w:sz w:val="20"/>
          <w:szCs w:val="20"/>
        </w:rPr>
      </w:pPr>
      <w:r>
        <w:rPr>
          <w:b/>
          <w:color w:val="4472C4" w:themeColor="accent5"/>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pPr>
        <w:pStyle w:val="ListParagraph"/>
        <w:ind w:left="644" w:hanging="0"/>
        <w:jc w:val="both"/>
        <w:rPr>
          <w:b/>
          <w:color w:val="4472C4" w:themeColor="accent5"/>
          <w:sz w:val="20"/>
          <w:szCs w:val="20"/>
        </w:rPr>
      </w:pPr>
      <w:r>
        <w:rPr>
          <w:b/>
          <w:color w:val="4472C4" w:themeColor="accent5"/>
          <w:sz w:val="20"/>
          <w:szCs w:val="20"/>
        </w:rPr>
      </w:r>
    </w:p>
    <w:p>
      <w:pPr>
        <w:pStyle w:val="ListParagraph"/>
        <w:keepLines/>
        <w:tabs>
          <w:tab w:val="clear" w:pos="708"/>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hanging="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hanging="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hanging="0"/>
        <w:jc w:val="both"/>
        <w:rPr>
          <w:rFonts w:cs="Courier New"/>
          <w:sz w:val="20"/>
          <w:szCs w:val="20"/>
        </w:rPr>
      </w:pPr>
      <w:r>
        <w:rPr>
          <w:rFonts w:cs="Courier New"/>
          <w:sz w:val="20"/>
          <w:szCs w:val="20"/>
        </w:rPr>
      </w:r>
    </w:p>
    <w:p>
      <w:pPr>
        <w:pStyle w:val="ListParagraph"/>
        <w:keepLines/>
        <w:tabs>
          <w:tab w:val="clear" w:pos="708"/>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pPr>
        <w:pStyle w:val="ListParagraph"/>
        <w:rPr>
          <w:b/>
          <w:color w:val="4472C4" w:themeColor="accent5"/>
          <w:sz w:val="20"/>
          <w:szCs w:val="20"/>
        </w:rPr>
      </w:pPr>
      <w:r>
        <w:rPr>
          <w:b/>
          <w:color w:val="4472C4" w:themeColor="accent5"/>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numPr>
          <w:ilvl w:val="0"/>
          <w:numId w:val="7"/>
        </w:numPr>
        <w:jc w:val="both"/>
        <w:rPr>
          <w:highlight w:val="none"/>
          <w:shd w:fill="auto" w:val="clear"/>
        </w:rPr>
      </w:pPr>
      <w:r>
        <w:rPr>
          <w:sz w:val="20"/>
          <w:szCs w:val="20"/>
          <w:shd w:fill="auto" w:val="clear"/>
        </w:rPr>
        <w:t>di aver preso visione del capitolato prestazionale relativo al servizio in oggetto (allegato sub A alla documentazione di gara) e di accettarlo integralmente;</w:t>
      </w:r>
    </w:p>
    <w:p>
      <w:pPr>
        <w:pStyle w:val="Normal"/>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di tutte le circostanze generali, particolari e locali, nessuna esclusa ed eccettuata, ivi compresi eventuali prezzi di riferimento pubblicati dall’ANAC, che possono avere influito o influire sia sulla prestazione dei servizi/fornitura, sia sulla determinazione della propria offerta. </w:t>
      </w:r>
    </w:p>
    <w:p>
      <w:pPr>
        <w:pStyle w:val="Normal"/>
        <w:ind w:left="284" w:hanging="284"/>
        <w:jc w:val="both"/>
        <w:rPr>
          <w:sz w:val="20"/>
          <w:szCs w:val="20"/>
        </w:rPr>
      </w:pPr>
      <w:r>
        <w:rPr>
          <w:sz w:val="20"/>
          <w:szCs w:val="20"/>
        </w:rPr>
        <w:t xml:space="preserve">▪ </w:t>
      </w:r>
      <w:r>
        <w:rPr>
          <w:sz w:val="20"/>
          <w:szCs w:val="20"/>
        </w:rPr>
        <w:tab/>
        <w:t xml:space="preserve">di essere edotto degli obblighi derivanti dal  </w:t>
      </w:r>
      <w:r>
        <w:rPr>
          <w:rFonts w:eastAsia="Calibri" w:cs="" w:cstheme="minorBidi" w:eastAsiaTheme="minorHAnsi"/>
          <w:color w:val="auto"/>
          <w:kern w:val="0"/>
          <w:sz w:val="20"/>
          <w:szCs w:val="20"/>
          <w:lang w:val="it-IT" w:eastAsia="en-US" w:bidi="ar-SA"/>
        </w:rPr>
        <w:t xml:space="preserve">Codice di Comportamento di cui al D.P.R. 16/04/2013 n. 62  come modificato con D.P.R. del 13/06/2023 n. 81 e dal Codice </w:t>
      </w:r>
      <w:r>
        <w:rPr>
          <w:sz w:val="20"/>
          <w:szCs w:val="20"/>
        </w:rPr>
        <w:t xml:space="preserve">di comportamento adottato dalla stazione appaltante </w:t>
      </w:r>
      <w:r>
        <w:rPr>
          <w:rFonts w:eastAsia="Calibri" w:cs="" w:cstheme="minorBidi" w:eastAsiaTheme="minorHAnsi"/>
          <w:color w:val="auto"/>
          <w:kern w:val="0"/>
          <w:sz w:val="20"/>
          <w:szCs w:val="20"/>
          <w:lang w:val="it-IT" w:eastAsia="en-US" w:bidi="ar-SA"/>
        </w:rPr>
        <w:t>con deliberazione n. 162 del 22/02/2018</w:t>
      </w:r>
      <w:r>
        <w:rPr>
          <w:sz w:val="20"/>
          <w:szCs w:val="20"/>
        </w:rPr>
        <w:t xml:space="preserve"> reperibile nel sito www.aslvco.it/amm-trasparente/codice-di-comportamento-aziendale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w:t>
      </w:r>
      <w:r>
        <w:rPr>
          <w:rFonts w:eastAsia="Calibri" w:cs="" w:cstheme="minorBidi" w:eastAsiaTheme="minorHAnsi"/>
          <w:sz w:val="20"/>
          <w:szCs w:val="20"/>
          <w:shd w:fill="auto" w:val="clear"/>
        </w:rPr>
        <w:t xml:space="preserve">alle ipotesi dei rischi interferenti con relative misure da adottare per eliminare o ridurre i rischi stessi e la stima degli eventuali costi della sicurezza relativi ai rischi interferenti (parte integrante del DUVRI);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34"/>
        <w:gridCol w:w="7803"/>
      </w:tblGrid>
      <w:tr>
        <w:trPr>
          <w:trHeight w:val="129" w:hRule="atLeast"/>
        </w:trPr>
        <w:tc>
          <w:tcPr>
            <w:tcW w:w="1834"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Norma</w:t>
            </w:r>
          </w:p>
        </w:tc>
        <w:tc>
          <w:tcPr>
            <w:tcW w:w="7803"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Certificazione/marchio posseduti</w:t>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i/>
          <w:i/>
          <w:sz w:val="20"/>
          <w:szCs w:val="20"/>
        </w:rPr>
      </w:pPr>
      <w:r>
        <w:rPr>
          <w:b/>
          <w:sz w:val="20"/>
          <w:szCs w:val="20"/>
        </w:rPr>
        <w:t xml:space="preserve">▪ </w:t>
      </w:r>
      <w:r>
        <w:rPr>
          <w:b/>
          <w:sz w:val="20"/>
          <w:szCs w:val="20"/>
        </w:rPr>
        <w:tab/>
      </w:r>
      <w:r>
        <w:rPr>
          <w:rFonts w:eastAsia="Calibri" w:cs="" w:cstheme="minorBidi" w:eastAsiaTheme="minorHAnsi"/>
          <w:b/>
          <w:sz w:val="20"/>
          <w:szCs w:val="20"/>
          <w:shd w:fill="auto" w:val="clear"/>
        </w:rPr>
        <w:t xml:space="preserve">DICHIARA </w:t>
      </w:r>
      <w:r>
        <w:rPr>
          <w:rFonts w:eastAsia="Calibri" w:cs="" w:cstheme="minorBidi" w:eastAsiaTheme="minorHAnsi"/>
          <w:b/>
          <w:i/>
          <w:sz w:val="20"/>
          <w:szCs w:val="20"/>
          <w:shd w:fill="auto" w:val="clear"/>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e parità di genere e generazionale</w:t>
      </w:r>
    </w:p>
    <w:p>
      <w:pPr>
        <w:pStyle w:val="Normal"/>
        <w:jc w:val="both"/>
        <w:rPr>
          <w:b/>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0"/>
        <w:jc w:val="both"/>
        <w:rPr>
          <w:sz w:val="20"/>
          <w:szCs w:val="20"/>
        </w:rPr>
      </w:pPr>
      <w:r>
        <w:rPr>
          <w:sz w:val="20"/>
          <w:szCs w:val="20"/>
        </w:rPr>
        <w:t xml:space="preserve">▪ </w:t>
      </w:r>
      <w:r>
        <w:rPr>
          <w:sz w:val="20"/>
          <w:szCs w:val="20"/>
        </w:rPr>
        <w:t>applicare al proprio personale il CCNL indicato nella lettera di invito;</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 ……………………(</w:t>
      </w:r>
      <w:r>
        <w:rPr>
          <w:i/>
          <w:sz w:val="20"/>
          <w:szCs w:val="20"/>
        </w:rPr>
        <w:t>indicare il CCNL applicato</w:t>
      </w:r>
      <w:r>
        <w:rPr>
          <w:sz w:val="20"/>
          <w:szCs w:val="20"/>
        </w:rPr>
        <w:t>) identificato dal codice alfanumerico unico ……………………………………, ma di impegnarsi ad applicare il contratto collettivo nazionale e territoriale indicato nella lettera di invito nell’esecuzione delle prestazioni oggetto del contratto per tutta la sua durata];</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w:t>
      </w:r>
      <w:r>
        <w:rPr>
          <w:i/>
          <w:sz w:val="20"/>
          <w:szCs w:val="20"/>
        </w:rPr>
        <w:t>indicare il CCNL applicato</w:t>
      </w:r>
      <w:r>
        <w:rPr>
          <w:sz w:val="20"/>
          <w:szCs w:val="20"/>
        </w:rPr>
        <w:t>) identificato dal codice alfanumerico unico …………………………………… che garantisce le stesse tutele economico e normative rispetto a quello indicato nella lettera di invito, come evidenziato nella dichiarazione di equivalenza allegata all’offerta tecnica];</w:t>
      </w:r>
    </w:p>
    <w:p>
      <w:pPr>
        <w:pStyle w:val="Normal"/>
        <w:ind w:left="284" w:hanging="0"/>
        <w:jc w:val="both"/>
        <w:rPr>
          <w:i/>
          <w:i/>
          <w:sz w:val="20"/>
          <w:szCs w:val="20"/>
        </w:rPr>
      </w:pPr>
      <w:r>
        <w:rPr>
          <w:sz w:val="20"/>
          <w:szCs w:val="20"/>
        </w:rPr>
        <w:t xml:space="preserve">▪ </w:t>
      </w:r>
      <w:r>
        <w:rPr>
          <w:sz w:val="20"/>
          <w:szCs w:val="20"/>
        </w:rPr>
        <w:t>assicurare l’applicazione delle medesime tutele economiche e normative garantite ai propri dipendenti ai lavoratori delle imprese che operano in subappalto.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b w:val="false"/>
          <w:bCs w:val="false"/>
        </w:rPr>
      </w:pPr>
      <w:r>
        <w:rPr>
          <w:b w:val="false"/>
          <w:bCs w:val="false"/>
          <w:i/>
          <w:sz w:val="20"/>
          <w:szCs w:val="20"/>
        </w:rPr>
        <w:t xml:space="preserve"> </w:t>
      </w:r>
      <w:r>
        <w:rPr>
          <w:b w:val="false"/>
          <w:bCs w:val="false"/>
          <w:i/>
          <w:sz w:val="20"/>
          <w:szCs w:val="20"/>
        </w:rPr>
        <w:t>o, in alternativa (eliminare la voce che non interessa)</w:t>
      </w:r>
    </w:p>
    <w:p>
      <w:pPr>
        <w:pStyle w:val="Normal"/>
        <w:jc w:val="both"/>
        <w:rPr>
          <w:rFonts w:ascii="Calibri" w:hAnsi="Calibri" w:eastAsia="Calibri" w:cs="" w:asciiTheme="minorHAnsi" w:cstheme="minorBidi" w:eastAsiaTheme="minorHAnsi" w:hAnsiTheme="minorHAnsi"/>
          <w:color w:val="auto"/>
          <w:kern w:val="0"/>
          <w:sz w:val="20"/>
          <w:szCs w:val="20"/>
          <w:lang w:val="it-IT" w:eastAsia="en-US" w:bidi="ar-SA"/>
        </w:rPr>
      </w:pPr>
      <w:r>
        <w:rPr>
          <w:rFonts w:eastAsia="Calibri" w:cs="" w:cstheme="minorBidi" w:eastAsiaTheme="minorHAnsi"/>
          <w:color w:val="auto"/>
          <w:kern w:val="0"/>
          <w:sz w:val="20"/>
          <w:szCs w:val="20"/>
          <w:lang w:val="it-IT" w:eastAsia="en-US" w:bidi="ar-SA"/>
        </w:rPr>
        <w:t>- di non essere soggetto agli obblighi di cui alla legge n. 68/1999;</w:t>
      </w:r>
    </w:p>
    <w:p>
      <w:pPr>
        <w:pStyle w:val="ListParagraph"/>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p>
    <w:p>
      <w:pPr>
        <w:pStyle w:val="Normal"/>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r>
    </w:p>
    <w:sectPr>
      <w:headerReference w:type="default" r:id="rId2"/>
      <w:footerReference w:type="default" r:id="rId3"/>
      <w:footnotePr>
        <w:numFmt w:val="decimal"/>
      </w:footnotePr>
      <w:type w:val="nextPage"/>
      <w:pgSz w:w="11906" w:h="16838"/>
      <w:pgMar w:left="1134" w:right="1134" w:gutter="0" w:header="708" w:top="993" w:footer="880" w:bottom="138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sz w:val="16"/>
          <w:szCs w:val="16"/>
        </w:rPr>
      </w:pPr>
      <w:r>
        <w:rPr>
          <w:sz w:val="16"/>
          <w:szCs w:val="16"/>
        </w:rPr>
        <w:t xml:space="preserve">• </w:t>
      </w:r>
      <w:r>
        <w:rPr>
          <w:sz w:val="16"/>
          <w:szCs w:val="16"/>
        </w:rPr>
        <w:t>del Gruppo Europeo Interesse Economico</w:t>
      </w:r>
    </w:p>
  </w:footnote>
  <w:footnote w:id="4">
    <w:p>
      <w:pPr>
        <w:pStyle w:val="Notaapidipagina"/>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2552" w:leader="none"/>
        <w:tab w:val="center" w:pos="4819" w:leader="none"/>
        <w:tab w:val="right" w:pos="9638" w:leader="none"/>
      </w:tabs>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08"/>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name w:val="Caratteri nota a piè di pagina"/>
    <w:uiPriority w:val="99"/>
    <w:semiHidden/>
    <w:unhideWhenUsed/>
    <w:qFormat/>
    <w:rsid w:val="00942e88"/>
    <w:rPr>
      <w:vertAlign w:val="superscript"/>
    </w:rPr>
  </w:style>
  <w:style w:type="character" w:styleId="Richiamoallanotaapidipagina">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Annotation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link w:val="Annotationtex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link w:val="ListNumber"/>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azionerighe" w:customStyle="1">
    <w:name w:val="Line Number"/>
    <w:rPr/>
  </w:style>
  <w:style w:type="character" w:styleId="Caratterinotadichiusura" w:customStyle="1">
    <w:name w:val="Caratteri nota di chiusura"/>
    <w:qFormat/>
    <w:rPr>
      <w:vertAlign w:val="superscrip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taapidipagina">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hanging="0"/>
      <w:contextualSpacing/>
    </w:pPr>
    <w:rPr/>
  </w:style>
  <w:style w:type="paragraph" w:styleId="Annotation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LibreOffice/7.5.1.2$Windows_X86_64 LibreOffice_project/fcbaee479e84c6cd81291587d2ee68cba099e129</Application>
  <AppVersion>15.0000</AppVersion>
  <Pages>7</Pages>
  <Words>2868</Words>
  <Characters>16593</Characters>
  <CharactersWithSpaces>19387</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2024-02-06T09:47:00Z</dcterms:created>
  <dc:creator>Labbadia Alessia</dc:creator>
  <dc:description/>
  <dc:language>it-IT</dc:language>
  <cp:lastModifiedBy/>
  <cp:lastPrinted>2023-12-13T08:59:00Z</cp:lastPrinted>
  <dcterms:modified xsi:type="dcterms:W3CDTF">2024-04-17T13:27:52Z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