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F3" w:rsidRDefault="005C49F3" w:rsidP="00896DD2">
      <w:pPr>
        <w:pStyle w:val="Titolo1"/>
        <w:pBdr>
          <w:bottom w:val="single" w:sz="4" w:space="5" w:color="EEEEEE"/>
        </w:pBdr>
        <w:shd w:val="clear" w:color="auto" w:fill="F9F9F9"/>
        <w:spacing w:before="120" w:after="240"/>
        <w:rPr>
          <w:rFonts w:ascii="inherit" w:hAnsi="inherit"/>
          <w:color w:val="333333"/>
          <w:sz w:val="43"/>
          <w:szCs w:val="43"/>
        </w:rPr>
      </w:pPr>
      <w:r>
        <w:rPr>
          <w:rFonts w:ascii="inherit" w:hAnsi="inherit"/>
          <w:color w:val="333333"/>
          <w:sz w:val="43"/>
          <w:szCs w:val="43"/>
        </w:rPr>
        <w:t>Fornitura di aghi, siringhe e deflussori e relativi servizi connessi per le Aziende del Servizio Sanitario di cui all’art. 3, comma 1, lettera a) della L.R. n. 19 del 6 agosto 2007 e s.m.i. e per l’Azienda USL Valle d’Aosta (GARA 65-2019)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Numero Gara</w:t>
      </w:r>
    </w:p>
    <w:p w:rsidR="005C49F3" w:rsidRDefault="005C49F3" w:rsidP="00896DD2">
      <w:pPr>
        <w:rPr>
          <w:color w:val="auto"/>
        </w:rPr>
      </w:pPr>
      <w:r>
        <w:t>65-2019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Stato</w:t>
      </w:r>
    </w:p>
    <w:p w:rsidR="005C49F3" w:rsidRDefault="005C49F3" w:rsidP="00896DD2">
      <w:pPr>
        <w:rPr>
          <w:color w:val="auto"/>
        </w:rPr>
      </w:pPr>
      <w:r>
        <w:t>Attiva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Ambito convenzione</w:t>
      </w:r>
    </w:p>
    <w:p w:rsidR="005C49F3" w:rsidRDefault="005C49F3" w:rsidP="00896DD2">
      <w:pPr>
        <w:rPr>
          <w:color w:val="auto"/>
        </w:rPr>
      </w:pPr>
      <w:r>
        <w:t>Sanità - Fornitura di beni</w:t>
      </w:r>
    </w:p>
    <w:p w:rsidR="005C49F3" w:rsidRDefault="005C49F3" w:rsidP="00896DD2">
      <w:pPr>
        <w:pStyle w:val="NormaleWeb"/>
        <w:spacing w:before="0" w:beforeAutospacing="0" w:after="120" w:afterAutospacing="0"/>
        <w:rPr>
          <w:sz w:val="22"/>
          <w:szCs w:val="22"/>
        </w:rPr>
      </w:pPr>
      <w:r>
        <w:rPr>
          <w:sz w:val="22"/>
          <w:szCs w:val="22"/>
        </w:rPr>
        <w:t>Fornitura di aghi, siringhe e deflussori e relativi servizi connessi per le Aziende del Servizio Sanitario di cui all’art. 3, comma 1, lettera a) della L.R. n. 19 del 6 agosto 2007 e s.m.i. e per l’Azienda USL Valle d’Aosta</w:t>
      </w:r>
    </w:p>
    <w:p w:rsidR="005C49F3" w:rsidRDefault="005C49F3" w:rsidP="00896DD2">
      <w:pPr>
        <w:pStyle w:val="Normale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 seguito di espletamento di procedura di gara, con Disposizione del Consigliere Delegato di S.C.R. - Piemonte S.p.A. n. 5 del 14 gennaio 2021, è stata disposta l'aggiudicazione e l'esecuzione anticipata della fornitura di aghi, siringhe e deflussori nonchè per la prestazione dei servizi connessi in favore delle Aziende del Servizio Sanitario della Regione Piemonte e per l'AUSL Valle d'Aosta.</w:t>
      </w:r>
      <w:r>
        <w:rPr>
          <w:sz w:val="22"/>
          <w:szCs w:val="22"/>
        </w:rPr>
        <w:br/>
        <w:t>Il lotto 4 è risultato infruttuoso per inidoneità dell’unica offerta pervenuta.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Oggetto dell'accordo</w:t>
      </w:r>
    </w:p>
    <w:p w:rsidR="005C49F3" w:rsidRDefault="005C49F3" w:rsidP="00896DD2">
      <w:pPr>
        <w:pStyle w:val="Normale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Convenzione ha per oggetto la fornitura di aghi, siringhe e deflussori.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Aggiudicatario</w:t>
      </w:r>
    </w:p>
    <w:p w:rsidR="005C49F3" w:rsidRDefault="00517BDA" w:rsidP="00896DD2">
      <w:pPr>
        <w:pStyle w:val="NormaleWeb"/>
        <w:spacing w:before="0" w:beforeAutospacing="0" w:after="120" w:afterAutospacing="0"/>
        <w:rPr>
          <w:sz w:val="22"/>
          <w:szCs w:val="22"/>
        </w:rPr>
      </w:pPr>
      <w:hyperlink r:id="rId8" w:history="1">
        <w:r w:rsidR="005C49F3">
          <w:rPr>
            <w:rStyle w:val="Collegamentoipertestuale"/>
            <w:color w:val="BE281A"/>
            <w:sz w:val="22"/>
            <w:szCs w:val="22"/>
          </w:rPr>
          <w:t>Tabella prodotti</w:t>
        </w:r>
      </w:hyperlink>
    </w:p>
    <w:p w:rsidR="005C49F3" w:rsidRDefault="00517BDA" w:rsidP="00896DD2">
      <w:pPr>
        <w:pStyle w:val="NormaleWeb"/>
        <w:spacing w:before="0" w:beforeAutospacing="0" w:after="120" w:afterAutospacing="0"/>
        <w:rPr>
          <w:sz w:val="22"/>
          <w:szCs w:val="22"/>
        </w:rPr>
      </w:pPr>
      <w:hyperlink r:id="rId9" w:history="1">
        <w:r w:rsidR="005C49F3">
          <w:rPr>
            <w:rStyle w:val="Collegamentoipertestuale"/>
            <w:color w:val="BE281A"/>
            <w:sz w:val="22"/>
            <w:szCs w:val="22"/>
          </w:rPr>
          <w:t>Schede tecniche</w:t>
        </w:r>
      </w:hyperlink>
    </w:p>
    <w:p w:rsidR="005C49F3" w:rsidRDefault="005C49F3" w:rsidP="00896DD2">
      <w:pPr>
        <w:pStyle w:val="Normale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CPV (principale): 333140000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Attivazione della fornitura</w:t>
      </w:r>
    </w:p>
    <w:p w:rsidR="005C49F3" w:rsidRDefault="005C49F3" w:rsidP="00896DD2">
      <w:pPr>
        <w:pStyle w:val="NormaleWeb"/>
        <w:spacing w:before="0" w:beforeAutospacing="0" w:after="120" w:afterAutospacing="0"/>
        <w:rPr>
          <w:sz w:val="22"/>
          <w:szCs w:val="22"/>
        </w:rPr>
      </w:pPr>
      <w:r>
        <w:rPr>
          <w:sz w:val="22"/>
          <w:szCs w:val="22"/>
        </w:rPr>
        <w:t>L'adesione alla Convenzione avverrà attraverso l'invio di apposito ordinativo di fornitura.</w:t>
      </w:r>
      <w:r>
        <w:rPr>
          <w:sz w:val="22"/>
          <w:szCs w:val="22"/>
        </w:rPr>
        <w:br/>
        <w:t>L'ordinativo di fornitura deve obbligatoriamente contenere almeno le seguenti informazioni:</w:t>
      </w:r>
    </w:p>
    <w:p w:rsidR="005C49F3" w:rsidRDefault="005C49F3" w:rsidP="00896DD2">
      <w:pPr>
        <w:numPr>
          <w:ilvl w:val="0"/>
          <w:numId w:val="4"/>
        </w:numPr>
        <w:spacing w:before="100" w:beforeAutospacing="1" w:after="100" w:afterAutospacing="1"/>
      </w:pPr>
      <w:r>
        <w:t>riferimento della Convenzione (parti contraenti, data di attivazione)</w:t>
      </w:r>
    </w:p>
    <w:p w:rsidR="005C49F3" w:rsidRDefault="005C49F3" w:rsidP="00896DD2">
      <w:pPr>
        <w:numPr>
          <w:ilvl w:val="0"/>
          <w:numId w:val="4"/>
        </w:numPr>
        <w:spacing w:before="100" w:beforeAutospacing="1" w:after="100" w:afterAutospacing="1"/>
      </w:pPr>
      <w:r>
        <w:t>CIG derivato</w:t>
      </w:r>
    </w:p>
    <w:p w:rsidR="005C49F3" w:rsidRDefault="005C49F3" w:rsidP="00896DD2">
      <w:pPr>
        <w:numPr>
          <w:ilvl w:val="0"/>
          <w:numId w:val="4"/>
        </w:numPr>
        <w:spacing w:before="100" w:beforeAutospacing="1" w:after="100" w:afterAutospacing="1"/>
      </w:pPr>
      <w:r>
        <w:t>nominativo del DEC</w:t>
      </w:r>
    </w:p>
    <w:p w:rsidR="005C49F3" w:rsidRDefault="005C49F3" w:rsidP="00896DD2">
      <w:pPr>
        <w:numPr>
          <w:ilvl w:val="0"/>
          <w:numId w:val="4"/>
        </w:numPr>
        <w:spacing w:before="100" w:beforeAutospacing="1" w:after="100" w:afterAutospacing="1"/>
      </w:pPr>
      <w:r>
        <w:t>riferimenti dell'Amministrazione per la fatturazione</w:t>
      </w:r>
    </w:p>
    <w:p w:rsidR="005C49F3" w:rsidRDefault="005C49F3" w:rsidP="00896DD2">
      <w:pPr>
        <w:numPr>
          <w:ilvl w:val="0"/>
          <w:numId w:val="4"/>
        </w:numPr>
        <w:spacing w:before="100" w:beforeAutospacing="1" w:after="100" w:afterAutospacing="1"/>
      </w:pPr>
      <w:r>
        <w:t>quantità e tipologia di prodotti richiesti con indicazione del lotto di appartenenza</w:t>
      </w:r>
    </w:p>
    <w:p w:rsidR="005C49F3" w:rsidRDefault="005C49F3" w:rsidP="00896DD2">
      <w:pPr>
        <w:numPr>
          <w:ilvl w:val="0"/>
          <w:numId w:val="4"/>
        </w:numPr>
        <w:spacing w:before="100" w:beforeAutospacing="1" w:after="100" w:afterAutospacing="1"/>
      </w:pPr>
      <w:r>
        <w:t>luogo/luoghi di consegna dei prodotti richiesti</w:t>
      </w:r>
    </w:p>
    <w:p w:rsidR="005C49F3" w:rsidRDefault="005C49F3" w:rsidP="00896DD2">
      <w:pPr>
        <w:pStyle w:val="Normale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L'ordinativo deve essere sottoscritto da persona autorizzata ad impegnare la spesa dell'Azienda.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Riferimenti dei fornitori</w:t>
      </w:r>
    </w:p>
    <w:p w:rsidR="005C49F3" w:rsidRDefault="00517BDA" w:rsidP="00896DD2">
      <w:pPr>
        <w:pStyle w:val="NormaleWeb"/>
        <w:spacing w:before="0" w:beforeAutospacing="0" w:after="0" w:afterAutospacing="0"/>
        <w:rPr>
          <w:sz w:val="22"/>
          <w:szCs w:val="22"/>
        </w:rPr>
      </w:pPr>
      <w:hyperlink r:id="rId10" w:history="1">
        <w:r w:rsidR="005C49F3">
          <w:rPr>
            <w:rStyle w:val="Collegamentoipertestuale"/>
            <w:color w:val="BE281A"/>
            <w:sz w:val="22"/>
            <w:szCs w:val="22"/>
          </w:rPr>
          <w:t>Riferimenti fornitori</w:t>
        </w:r>
      </w:hyperlink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Tempi di consegna</w:t>
      </w:r>
    </w:p>
    <w:p w:rsidR="005C49F3" w:rsidRDefault="005C49F3" w:rsidP="00896DD2">
      <w:pPr>
        <w:pStyle w:val="Normale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 prodotti dovranno essere consegnati, in porto franco e nelle quantità e qualità descritte nell'Ordinativo di Fornitura, entro il termine massimo di 5 giorni lavorativi dalla data di invio dello stesso.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Fatturazione e pagamenti</w:t>
      </w:r>
    </w:p>
    <w:p w:rsidR="005C49F3" w:rsidRDefault="005C49F3" w:rsidP="00896DD2">
      <w:pPr>
        <w:pStyle w:val="Normale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Il corrispettivo contrattuale dovuto da ciascuna Azienda Sanitaria al Fornitore in forza degli Ordinativi di fornitura sarà pagato dietro presentazione di regolari fatture trasmesse in modalità elettronica. I corrispettivi dovranno essere corrisposti a 60 (sessanta) giorni, decorrenti dall'esito positivo della verifica di conformità ai sensi dell'art. 113-bis D.Lgs 50/2016 e s.m.i., e dovranno essere accreditati sul conto corrente dedicato (ai sensi della L.136/2010) intestato al Fornitore.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Data di attivazione</w:t>
      </w:r>
    </w:p>
    <w:p w:rsidR="005C49F3" w:rsidRDefault="005C49F3" w:rsidP="00896DD2">
      <w:pPr>
        <w:rPr>
          <w:color w:val="auto"/>
        </w:rPr>
      </w:pPr>
      <w:r>
        <w:t>Gio, 14/01/2021 - 12:00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Data di scadenza</w:t>
      </w:r>
    </w:p>
    <w:p w:rsidR="005C49F3" w:rsidRDefault="005C49F3" w:rsidP="00896DD2">
      <w:pPr>
        <w:rPr>
          <w:color w:val="auto"/>
        </w:rPr>
      </w:pPr>
      <w:r>
        <w:t>Ven, 21/01/2022 - 12:00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Documentazione</w:t>
      </w:r>
    </w:p>
    <w:p w:rsidR="005C49F3" w:rsidRDefault="00517BDA" w:rsidP="00896DD2">
      <w:pPr>
        <w:rPr>
          <w:color w:val="auto"/>
        </w:rPr>
      </w:pPr>
      <w:hyperlink r:id="rId11" w:tgtFrame="_blank" w:history="1">
        <w:r w:rsidR="005C49F3">
          <w:rPr>
            <w:rStyle w:val="Collegamentoipertestuale"/>
            <w:b/>
            <w:bCs/>
            <w:sz w:val="13"/>
            <w:szCs w:val="13"/>
            <w:bdr w:val="single" w:sz="4" w:space="0" w:color="CCCCCC" w:frame="1"/>
          </w:rPr>
          <w:t>Capitolato Tecnico</w:t>
        </w:r>
      </w:hyperlink>
      <w:r w:rsidR="005C49F3">
        <w:rPr>
          <w:rStyle w:val="file-size"/>
          <w:b/>
          <w:bCs/>
          <w:color w:val="337AB7"/>
          <w:sz w:val="13"/>
          <w:szCs w:val="13"/>
          <w:bdr w:val="single" w:sz="4" w:space="0" w:color="CCCCCC" w:frame="1"/>
          <w:shd w:val="clear" w:color="auto" w:fill="FFFFFF"/>
        </w:rPr>
        <w:t>1.02 MB</w:t>
      </w:r>
    </w:p>
    <w:p w:rsidR="005C49F3" w:rsidRDefault="005C49F3" w:rsidP="00896DD2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Pubblicazioni ex art. 29</w:t>
      </w:r>
    </w:p>
    <w:p w:rsidR="005C49F3" w:rsidRDefault="005C49F3" w:rsidP="00896DD2">
      <w:pPr>
        <w:pStyle w:val="Normale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Gli atti sono contenuti nella sessione "Società trasparente" alla quale è possibile arrivare collegandosi al seguente </w:t>
      </w:r>
      <w:hyperlink r:id="rId12" w:history="1">
        <w:r>
          <w:rPr>
            <w:rStyle w:val="Collegamentoipertestuale"/>
            <w:color w:val="BE281A"/>
            <w:sz w:val="22"/>
            <w:szCs w:val="22"/>
          </w:rPr>
          <w:t>link</w:t>
        </w:r>
      </w:hyperlink>
      <w:r>
        <w:rPr>
          <w:sz w:val="22"/>
          <w:szCs w:val="22"/>
        </w:rPr>
        <w:t>.</w:t>
      </w:r>
    </w:p>
    <w:p w:rsidR="005C49F3" w:rsidRPr="006D353E" w:rsidRDefault="005C49F3" w:rsidP="006D353E">
      <w:pPr>
        <w:pStyle w:val="NormaleWeb"/>
        <w:spacing w:before="0" w:beforeAutospacing="0" w:after="64" w:afterAutospacing="0"/>
        <w:jc w:val="both"/>
        <w:rPr>
          <w:sz w:val="20"/>
          <w:szCs w:val="20"/>
        </w:rPr>
      </w:pPr>
    </w:p>
    <w:sectPr w:rsidR="005C49F3" w:rsidRPr="006D353E" w:rsidSect="006F5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993" w:left="1134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F3" w:rsidRDefault="005C49F3" w:rsidP="00002B7D">
      <w:r>
        <w:separator/>
      </w:r>
    </w:p>
  </w:endnote>
  <w:endnote w:type="continuationSeparator" w:id="0">
    <w:p w:rsidR="005C49F3" w:rsidRDefault="005C49F3" w:rsidP="0000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DA" w:rsidRDefault="00517B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DA" w:rsidRDefault="00517BD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DA" w:rsidRDefault="00517B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F3" w:rsidRDefault="005C49F3" w:rsidP="00002B7D">
      <w:r>
        <w:separator/>
      </w:r>
    </w:p>
  </w:footnote>
  <w:footnote w:type="continuationSeparator" w:id="0">
    <w:p w:rsidR="005C49F3" w:rsidRDefault="005C49F3" w:rsidP="00002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DA" w:rsidRDefault="00517B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F3" w:rsidRPr="00232595" w:rsidRDefault="005C49F3">
    <w:pPr>
      <w:pStyle w:val="Intestazione"/>
      <w:rPr>
        <w:rFonts w:ascii="Tahoma" w:hAnsi="Tahoma" w:cs="Tahoma"/>
        <w:b/>
        <w:sz w:val="32"/>
        <w:szCs w:val="32"/>
      </w:rPr>
    </w:pPr>
    <w:r>
      <w:rPr>
        <w:rFonts w:ascii="Tahoma" w:hAnsi="Tahoma" w:cs="Tahoma"/>
        <w:b/>
        <w:sz w:val="32"/>
        <w:szCs w:val="32"/>
      </w:rPr>
      <w:t xml:space="preserve">Allegato A) alla determinazione n.  </w:t>
    </w:r>
    <w:r w:rsidR="00517BDA">
      <w:rPr>
        <w:rFonts w:ascii="Tahoma" w:hAnsi="Tahoma" w:cs="Tahoma"/>
        <w:b/>
        <w:sz w:val="32"/>
        <w:szCs w:val="32"/>
      </w:rPr>
      <w:t>181</w:t>
    </w:r>
    <w:r>
      <w:rPr>
        <w:rFonts w:ascii="Tahoma" w:hAnsi="Tahoma" w:cs="Tahoma"/>
        <w:b/>
        <w:sz w:val="32"/>
        <w:szCs w:val="32"/>
      </w:rPr>
      <w:t xml:space="preserve">  del </w:t>
    </w:r>
    <w:r w:rsidR="00517BDA">
      <w:rPr>
        <w:rFonts w:ascii="Tahoma" w:hAnsi="Tahoma" w:cs="Tahoma"/>
        <w:b/>
        <w:sz w:val="32"/>
        <w:szCs w:val="32"/>
      </w:rPr>
      <w:t>23/02/2021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DA" w:rsidRDefault="00517B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9EA"/>
    <w:multiLevelType w:val="hybridMultilevel"/>
    <w:tmpl w:val="8D14B7C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23871"/>
    <w:multiLevelType w:val="multilevel"/>
    <w:tmpl w:val="309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E122B"/>
    <w:multiLevelType w:val="multilevel"/>
    <w:tmpl w:val="6E8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C2387"/>
    <w:multiLevelType w:val="multilevel"/>
    <w:tmpl w:val="303A82E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B7D"/>
    <w:rsid w:val="00002B7D"/>
    <w:rsid w:val="00023D40"/>
    <w:rsid w:val="0003266A"/>
    <w:rsid w:val="000F7543"/>
    <w:rsid w:val="00156EB2"/>
    <w:rsid w:val="00157605"/>
    <w:rsid w:val="00187B68"/>
    <w:rsid w:val="001906DA"/>
    <w:rsid w:val="001C6D25"/>
    <w:rsid w:val="001E3908"/>
    <w:rsid w:val="00225F63"/>
    <w:rsid w:val="00232595"/>
    <w:rsid w:val="00236A9C"/>
    <w:rsid w:val="00260144"/>
    <w:rsid w:val="002850E7"/>
    <w:rsid w:val="002C4387"/>
    <w:rsid w:val="002C7F6A"/>
    <w:rsid w:val="002E5968"/>
    <w:rsid w:val="00300C25"/>
    <w:rsid w:val="0030368C"/>
    <w:rsid w:val="0030525E"/>
    <w:rsid w:val="00336BB1"/>
    <w:rsid w:val="00374C25"/>
    <w:rsid w:val="00382638"/>
    <w:rsid w:val="003D6B52"/>
    <w:rsid w:val="00403563"/>
    <w:rsid w:val="0045190C"/>
    <w:rsid w:val="00475913"/>
    <w:rsid w:val="00495E51"/>
    <w:rsid w:val="004C1903"/>
    <w:rsid w:val="004C6E23"/>
    <w:rsid w:val="00511D29"/>
    <w:rsid w:val="00517BDA"/>
    <w:rsid w:val="005A35ED"/>
    <w:rsid w:val="005C4654"/>
    <w:rsid w:val="005C49F3"/>
    <w:rsid w:val="005C69D7"/>
    <w:rsid w:val="005D0EFC"/>
    <w:rsid w:val="00663C9D"/>
    <w:rsid w:val="00666931"/>
    <w:rsid w:val="00670F8B"/>
    <w:rsid w:val="00671EBA"/>
    <w:rsid w:val="00674CE4"/>
    <w:rsid w:val="00690F99"/>
    <w:rsid w:val="006B1F44"/>
    <w:rsid w:val="006B4386"/>
    <w:rsid w:val="006D353E"/>
    <w:rsid w:val="006D497E"/>
    <w:rsid w:val="006F5E1E"/>
    <w:rsid w:val="0071050C"/>
    <w:rsid w:val="00721BB0"/>
    <w:rsid w:val="00760CAB"/>
    <w:rsid w:val="0076367B"/>
    <w:rsid w:val="00774763"/>
    <w:rsid w:val="007934CE"/>
    <w:rsid w:val="007E0C0D"/>
    <w:rsid w:val="0080671B"/>
    <w:rsid w:val="00836728"/>
    <w:rsid w:val="00844B80"/>
    <w:rsid w:val="008559E4"/>
    <w:rsid w:val="00861CA1"/>
    <w:rsid w:val="00884F1B"/>
    <w:rsid w:val="00896DD2"/>
    <w:rsid w:val="00897306"/>
    <w:rsid w:val="008A1718"/>
    <w:rsid w:val="008A76DD"/>
    <w:rsid w:val="008C736C"/>
    <w:rsid w:val="008D1963"/>
    <w:rsid w:val="008F7B55"/>
    <w:rsid w:val="00905B64"/>
    <w:rsid w:val="009107A0"/>
    <w:rsid w:val="009415FA"/>
    <w:rsid w:val="00950F34"/>
    <w:rsid w:val="0096773F"/>
    <w:rsid w:val="00990403"/>
    <w:rsid w:val="009A0060"/>
    <w:rsid w:val="009B10F7"/>
    <w:rsid w:val="009C535B"/>
    <w:rsid w:val="009D5DDC"/>
    <w:rsid w:val="009E02A8"/>
    <w:rsid w:val="009F246F"/>
    <w:rsid w:val="00A1040B"/>
    <w:rsid w:val="00A26D85"/>
    <w:rsid w:val="00A70597"/>
    <w:rsid w:val="00AA1E57"/>
    <w:rsid w:val="00AB05BB"/>
    <w:rsid w:val="00AE7F01"/>
    <w:rsid w:val="00AF64EA"/>
    <w:rsid w:val="00B13FF5"/>
    <w:rsid w:val="00B400F5"/>
    <w:rsid w:val="00B45E89"/>
    <w:rsid w:val="00B46669"/>
    <w:rsid w:val="00BB4FD7"/>
    <w:rsid w:val="00BD3515"/>
    <w:rsid w:val="00BF72A0"/>
    <w:rsid w:val="00C54931"/>
    <w:rsid w:val="00C679C5"/>
    <w:rsid w:val="00C87CA0"/>
    <w:rsid w:val="00CB044B"/>
    <w:rsid w:val="00CB68DC"/>
    <w:rsid w:val="00CF7777"/>
    <w:rsid w:val="00D04B97"/>
    <w:rsid w:val="00D06299"/>
    <w:rsid w:val="00D34ADA"/>
    <w:rsid w:val="00D57446"/>
    <w:rsid w:val="00E14CFD"/>
    <w:rsid w:val="00E151B7"/>
    <w:rsid w:val="00E5699F"/>
    <w:rsid w:val="00EC3F76"/>
    <w:rsid w:val="00EF30C5"/>
    <w:rsid w:val="00F15240"/>
    <w:rsid w:val="00F54369"/>
    <w:rsid w:val="00F57CEB"/>
    <w:rsid w:val="00F63C17"/>
    <w:rsid w:val="00F94F37"/>
    <w:rsid w:val="00FA3ADC"/>
    <w:rsid w:val="00FA595B"/>
    <w:rsid w:val="00F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D35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4">
    <w:name w:val="heading 4"/>
    <w:basedOn w:val="Normale"/>
    <w:link w:val="Titolo4Carattere"/>
    <w:uiPriority w:val="99"/>
    <w:qFormat/>
    <w:rsid w:val="00382638"/>
    <w:pPr>
      <w:spacing w:before="100" w:beforeAutospacing="1" w:after="100" w:afterAutospacing="1"/>
      <w:outlineLvl w:val="3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D353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382638"/>
    <w:rPr>
      <w:rFonts w:cs="Times New Roman"/>
      <w:b/>
      <w:bCs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customStyle="1" w:styleId="ListLabel1">
    <w:name w:val="ListLabel 1"/>
    <w:uiPriority w:val="99"/>
    <w:rsid w:val="00002B7D"/>
    <w:rPr>
      <w:rFonts w:eastAsia="Times New Roman"/>
    </w:rPr>
  </w:style>
  <w:style w:type="character" w:customStyle="1" w:styleId="ListLabel2">
    <w:name w:val="ListLabel 2"/>
    <w:uiPriority w:val="99"/>
    <w:rsid w:val="00002B7D"/>
    <w:rPr>
      <w:rFonts w:eastAsia="Times New Roman"/>
    </w:rPr>
  </w:style>
  <w:style w:type="character" w:customStyle="1" w:styleId="ListLabel3">
    <w:name w:val="ListLabel 3"/>
    <w:uiPriority w:val="99"/>
    <w:rsid w:val="00002B7D"/>
    <w:rPr>
      <w:rFonts w:eastAsia="Times New Roman"/>
    </w:rPr>
  </w:style>
  <w:style w:type="character" w:customStyle="1" w:styleId="ListLabel4">
    <w:name w:val="ListLabel 4"/>
    <w:uiPriority w:val="99"/>
    <w:rsid w:val="00002B7D"/>
    <w:rPr>
      <w:rFonts w:eastAsia="Times New Roman"/>
    </w:rPr>
  </w:style>
  <w:style w:type="character" w:customStyle="1" w:styleId="ListLabel5">
    <w:name w:val="ListLabel 5"/>
    <w:uiPriority w:val="99"/>
    <w:rsid w:val="00002B7D"/>
    <w:rPr>
      <w:color w:val="000000"/>
      <w:sz w:val="20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02B7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940543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Tahoma" w:hAnsi="Tahoma" w:cs="Tahoma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0543"/>
    <w:rPr>
      <w:color w:val="00000A"/>
      <w:sz w:val="24"/>
      <w:szCs w:val="24"/>
    </w:rPr>
  </w:style>
  <w:style w:type="paragraph" w:styleId="Elenco">
    <w:name w:val="List"/>
    <w:basedOn w:val="Corpotesto"/>
    <w:uiPriority w:val="99"/>
    <w:rsid w:val="00002B7D"/>
    <w:rPr>
      <w:rFonts w:cs="Arial Unicode MS"/>
    </w:rPr>
  </w:style>
  <w:style w:type="paragraph" w:customStyle="1" w:styleId="Caption1">
    <w:name w:val="Caption1"/>
    <w:basedOn w:val="Normale"/>
    <w:uiPriority w:val="99"/>
    <w:rsid w:val="00002B7D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uiPriority w:val="99"/>
    <w:rsid w:val="00002B7D"/>
    <w:pPr>
      <w:suppressLineNumbers/>
    </w:pPr>
    <w:rPr>
      <w:rFonts w:cs="Arial Unicode MS"/>
    </w:rPr>
  </w:style>
  <w:style w:type="paragraph" w:customStyle="1" w:styleId="Header1">
    <w:name w:val="Header1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Footer1">
    <w:name w:val="Footer1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artaIntestata">
    <w:name w:val="CartaIntestata"/>
    <w:basedOn w:val="Normale"/>
    <w:uiPriority w:val="99"/>
    <w:pPr>
      <w:jc w:val="right"/>
    </w:pPr>
    <w:rPr>
      <w:rFonts w:ascii="HelveticaNeueLT Pro 45 Lt" w:hAnsi="HelveticaNeueLT Pro 45 Lt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3"/>
    <w:rPr>
      <w:color w:val="00000A"/>
      <w:sz w:val="0"/>
      <w:szCs w:val="0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1086"/>
      <w:jc w:val="both"/>
    </w:pPr>
    <w:rPr>
      <w:rFonts w:ascii="Tahoma" w:hAnsi="Tahoma" w:cs="Tahoma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40543"/>
    <w:rPr>
      <w:color w:val="00000A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Tahoma" w:hAnsi="Tahoma" w:cs="Tahoma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40543"/>
    <w:rPr>
      <w:color w:val="00000A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widowControl w:val="0"/>
      <w:overflowPunct w:val="0"/>
      <w:ind w:firstLine="720"/>
      <w:jc w:val="both"/>
    </w:pPr>
    <w:rPr>
      <w:rFonts w:ascii="Trebuchet MS" w:hAnsi="Trebuchet MS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spacing w:after="120" w:line="480" w:lineRule="auto"/>
    </w:pPr>
  </w:style>
  <w:style w:type="character" w:customStyle="1" w:styleId="BodyText2Char1">
    <w:name w:val="Body Text 2 Char1"/>
    <w:basedOn w:val="Carpredefinitoparagrafo"/>
    <w:uiPriority w:val="99"/>
    <w:semiHidden/>
    <w:rsid w:val="00940543"/>
    <w:rPr>
      <w:color w:val="00000A"/>
      <w:sz w:val="24"/>
      <w:szCs w:val="24"/>
    </w:rPr>
  </w:style>
  <w:style w:type="paragraph" w:customStyle="1" w:styleId="Corpodeltesto22">
    <w:name w:val="Corpo del testo 22"/>
    <w:basedOn w:val="Normale"/>
    <w:uiPriority w:val="99"/>
    <w:pPr>
      <w:widowControl w:val="0"/>
      <w:overflowPunct w:val="0"/>
      <w:ind w:firstLine="720"/>
      <w:jc w:val="both"/>
      <w:textAlignment w:val="baseline"/>
    </w:pPr>
    <w:rPr>
      <w:rFonts w:ascii="Trebuchet MS" w:hAnsi="Trebuchet MS"/>
      <w:sz w:val="20"/>
      <w:szCs w:val="20"/>
    </w:rPr>
  </w:style>
  <w:style w:type="paragraph" w:customStyle="1" w:styleId="Contenutocornice">
    <w:name w:val="Contenuto cornice"/>
    <w:basedOn w:val="Normale"/>
    <w:uiPriority w:val="99"/>
    <w:rsid w:val="00002B7D"/>
  </w:style>
  <w:style w:type="character" w:styleId="Collegamentoipertestuale">
    <w:name w:val="Hyperlink"/>
    <w:basedOn w:val="Carpredefinitoparagrafo"/>
    <w:uiPriority w:val="99"/>
    <w:rsid w:val="009B10F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E5699F"/>
    <w:pPr>
      <w:ind w:left="720"/>
      <w:contextualSpacing/>
    </w:pPr>
    <w:rPr>
      <w:color w:val="auto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rsid w:val="003826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82638"/>
    <w:rPr>
      <w:rFonts w:cs="Times New Roman"/>
      <w:color w:val="00000A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3826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82638"/>
    <w:rPr>
      <w:rFonts w:cs="Times New Roman"/>
      <w:color w:val="00000A"/>
      <w:sz w:val="24"/>
      <w:szCs w:val="24"/>
    </w:rPr>
  </w:style>
  <w:style w:type="paragraph" w:styleId="NormaleWeb">
    <w:name w:val="Normal (Web)"/>
    <w:basedOn w:val="Normale"/>
    <w:uiPriority w:val="99"/>
    <w:semiHidden/>
    <w:rsid w:val="00382638"/>
    <w:pPr>
      <w:spacing w:before="100" w:beforeAutospacing="1" w:after="100" w:afterAutospacing="1"/>
    </w:pPr>
    <w:rPr>
      <w:color w:val="auto"/>
    </w:rPr>
  </w:style>
  <w:style w:type="character" w:styleId="Enfasigrassetto">
    <w:name w:val="Strong"/>
    <w:basedOn w:val="Carpredefinitoparagrafo"/>
    <w:uiPriority w:val="99"/>
    <w:qFormat/>
    <w:rsid w:val="00382638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382638"/>
    <w:rPr>
      <w:rFonts w:cs="Times New Roman"/>
      <w:i/>
      <w:iCs/>
    </w:rPr>
  </w:style>
  <w:style w:type="character" w:customStyle="1" w:styleId="blank">
    <w:name w:val="blank"/>
    <w:basedOn w:val="Carpredefinitoparagrafo"/>
    <w:uiPriority w:val="99"/>
    <w:rsid w:val="006F5E1E"/>
    <w:rPr>
      <w:rFonts w:cs="Times New Roman"/>
    </w:rPr>
  </w:style>
  <w:style w:type="character" w:customStyle="1" w:styleId="file-link">
    <w:name w:val="file-link"/>
    <w:basedOn w:val="Carpredefinitoparagrafo"/>
    <w:uiPriority w:val="99"/>
    <w:rsid w:val="006D353E"/>
    <w:rPr>
      <w:rFonts w:cs="Times New Roman"/>
    </w:rPr>
  </w:style>
  <w:style w:type="character" w:customStyle="1" w:styleId="file-size">
    <w:name w:val="file-size"/>
    <w:basedOn w:val="Carpredefinitoparagrafo"/>
    <w:uiPriority w:val="99"/>
    <w:rsid w:val="006D353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79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6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37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59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31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82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26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28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32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797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12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72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52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788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.piemonte.it/sites/default/files/convenzioni/2019/065-2019_Aghi%20siringhe%20e%20deflussori/Tabella%20prodotti.xls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rasparenza.scr.piemonte.it/atti-delle-amministrazioni-aggiudicatrici-e-degli-enti-aggiudicatori-distintamente-per-ogni-procedura?_20_folderId=25195188&amp;_20_displayStyle=list&amp;_20_viewEntries=1&amp;_20_viewFolders=1&amp;_20_struts_action=%2Fdocument_library%2Fview&amp;_20_action=browseFolder&amp;_20_entryEnd=20&amp;_20_folderEnd=20&amp;_20_expandFolder=0&amp;_20_entryStart=0&amp;_20_folderStart=0&amp;p_p_id=20&amp;p_p_lifecycle=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r.piemonte.it/sites/default/files/convenzioni/documenti/2019_12_20_G_2019_65_Capitolato%20tecnico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r.piemonte.it/sites/default/files/convenzioni/2019/065-2019_Aghi%20siringhe%20e%20deflussori/Riferimenti%20Fornitori.xl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r.piemonte.it/sites/default/files/convenzioni/2019/065-2019_Aghi%20siringhe%20e%20deflussori/Schede%20tecniche.zi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3283</Characters>
  <Application>Microsoft Office Word</Application>
  <DocSecurity>0</DocSecurity>
  <Lines>27</Lines>
  <Paragraphs>7</Paragraphs>
  <ScaleCrop>false</ScaleCrop>
  <Company>aslvco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 di aghi, siringhe e deflussori e relativi servizi connessi per le Aziende del Servizio Sanitario di cui all’art</dc:title>
  <dc:subject/>
  <dc:creator>scaramozza</dc:creator>
  <cp:keywords/>
  <dc:description/>
  <cp:lastModifiedBy>Muscatello Antonella</cp:lastModifiedBy>
  <cp:revision>3</cp:revision>
  <cp:lastPrinted>2021-01-19T10:03:00Z</cp:lastPrinted>
  <dcterms:created xsi:type="dcterms:W3CDTF">2021-02-23T10:06:00Z</dcterms:created>
  <dcterms:modified xsi:type="dcterms:W3CDTF">2021-02-23T15:09:00Z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aslvco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